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sz w:val="26"/>
          <w:szCs w:val="26"/>
        </w:rPr>
      </w:pPr>
      <w:r>
        <w:rPr>
          <w:b/>
          <w:sz w:val="26"/>
          <w:szCs w:val="26"/>
        </w:rPr>
        <w:t>Toelichting bij het model-Verzoek tot revisie van de besluiten ‘MV en ambt’ van de GS Meppel 2017</w:t>
      </w:r>
    </w:p>
    <w:p>
      <w:pPr>
        <w:pStyle w:val="NoSpacing"/>
        <w:rPr/>
      </w:pPr>
      <w:r>
        <w:rPr/>
      </w:r>
    </w:p>
    <w:p>
      <w:pPr>
        <w:pStyle w:val="NoSpacing"/>
        <w:rPr>
          <w:b/>
          <w:b/>
        </w:rPr>
      </w:pPr>
      <w:r>
        <w:rPr>
          <w:b/>
        </w:rPr>
        <w:t>Inleiding</w:t>
      </w:r>
    </w:p>
    <w:p>
      <w:pPr>
        <w:pStyle w:val="NoSpacing"/>
        <w:rPr/>
      </w:pPr>
      <w:r>
        <w:rPr/>
        <w:t>Het model-revisieverzoek wil een hulpmiddel zijn voor kerkenraden, die de besluiten van de GS Meppel inzake ‘MV en ambt’ niet als bindend kunnen aanvaarden en daartegen bezwaren willen indienen bij de eerstvolgende generale synode.</w:t>
      </w:r>
    </w:p>
    <w:p>
      <w:pPr>
        <w:pStyle w:val="NoSpacing"/>
        <w:rPr/>
      </w:pPr>
      <w:r>
        <w:rPr/>
      </w:r>
    </w:p>
    <w:p>
      <w:pPr>
        <w:pStyle w:val="NoSpacing"/>
        <w:rPr>
          <w:b/>
          <w:b/>
        </w:rPr>
      </w:pPr>
      <w:r>
        <w:rPr>
          <w:b/>
        </w:rPr>
        <w:t>Inhoud</w:t>
      </w:r>
    </w:p>
    <w:p>
      <w:pPr>
        <w:pStyle w:val="NoSpacing"/>
        <w:rPr/>
      </w:pPr>
      <w:r>
        <w:rPr/>
        <w:t>In het model-revisieverzoek vindt u, kort samengevat, de volgende onderdelen:</w:t>
      </w:r>
    </w:p>
    <w:p>
      <w:pPr>
        <w:pStyle w:val="NoSpacing"/>
        <w:numPr>
          <w:ilvl w:val="0"/>
          <w:numId w:val="1"/>
        </w:numPr>
        <w:ind w:left="426" w:hanging="284"/>
        <w:rPr/>
      </w:pPr>
      <w:r>
        <w:rPr/>
        <w:t>De besluiten van de GS waartegen de kritiek zich in het bijzonder richt.</w:t>
      </w:r>
    </w:p>
    <w:p>
      <w:pPr>
        <w:pStyle w:val="NoSpacing"/>
        <w:numPr>
          <w:ilvl w:val="0"/>
          <w:numId w:val="1"/>
        </w:numPr>
        <w:ind w:left="426" w:hanging="284"/>
        <w:rPr/>
      </w:pPr>
      <w:r>
        <w:rPr/>
        <w:t>Belangrijke aspecten die in de besluitvorming van de GS juist ontbreken.</w:t>
      </w:r>
    </w:p>
    <w:p>
      <w:pPr>
        <w:pStyle w:val="NoSpacing"/>
        <w:numPr>
          <w:ilvl w:val="0"/>
          <w:numId w:val="1"/>
        </w:numPr>
        <w:ind w:left="426" w:hanging="284"/>
        <w:rPr/>
      </w:pPr>
      <w:r>
        <w:rPr/>
        <w:t>De bezwaren die tegen de synodebesluiten zijn in te brengen.</w:t>
      </w:r>
    </w:p>
    <w:p>
      <w:pPr>
        <w:pStyle w:val="NoSpacing"/>
        <w:numPr>
          <w:ilvl w:val="0"/>
          <w:numId w:val="1"/>
        </w:numPr>
        <w:ind w:left="426" w:hanging="284"/>
        <w:rPr/>
      </w:pPr>
      <w:r>
        <w:rPr/>
        <w:t>Het verzoek aan de volgende synode om de onjuiste besluiten vervallen te verklaren</w:t>
      </w:r>
    </w:p>
    <w:p>
      <w:pPr>
        <w:pStyle w:val="NoSpacing"/>
        <w:numPr>
          <w:ilvl w:val="0"/>
          <w:numId w:val="1"/>
        </w:numPr>
        <w:ind w:left="426" w:hanging="284"/>
        <w:rPr/>
      </w:pPr>
      <w:r>
        <w:rPr/>
        <w:t>Het verzoek aan de volgende synode om tot betere besluitvorming te komen.</w:t>
      </w:r>
    </w:p>
    <w:p>
      <w:pPr>
        <w:pStyle w:val="NoSpacing"/>
        <w:rPr/>
      </w:pPr>
      <w:r>
        <w:rPr/>
      </w:r>
    </w:p>
    <w:p>
      <w:pPr>
        <w:pStyle w:val="NoSpacing"/>
        <w:rPr>
          <w:b/>
          <w:b/>
        </w:rPr>
      </w:pPr>
      <w:r>
        <w:rPr>
          <w:b/>
        </w:rPr>
        <w:t>Revisie</w:t>
      </w:r>
    </w:p>
    <w:p>
      <w:pPr>
        <w:pStyle w:val="NoSpacing"/>
        <w:rPr/>
      </w:pPr>
      <w:r>
        <w:rPr/>
        <w:t>Het indienen van bezwaren tegen een synodebesluit heet kerkrechtelijk ‘revisie’. Volgens de kerkorde kan een revisieverzoek worden ingediend door de kerkenraad of door de classis. Kerkleden kunnen dus niet allemaal rechtstreeks zelf revisie vragen aan de volgende GS. Dit geldt al 10 jaar zo, sinds de synode van Zwolle-Zuid 2008, en is toen besloten om de grote stroom van individuele revisieverzoeken te beperken. Het positieve hiervan is bovendien dat kerkenraad en gemeente samen plaatselijk in gesprek moeten gaan over het instellen van revisie.</w:t>
      </w:r>
    </w:p>
    <w:p>
      <w:pPr>
        <w:pStyle w:val="NoSpacing"/>
        <w:rPr/>
      </w:pPr>
      <w:r>
        <w:rPr/>
      </w:r>
    </w:p>
    <w:p>
      <w:pPr>
        <w:pStyle w:val="NoSpacing"/>
        <w:rPr>
          <w:b/>
          <w:b/>
        </w:rPr>
      </w:pPr>
      <w:r>
        <w:rPr>
          <w:b/>
        </w:rPr>
        <w:t>Kerkenraad</w:t>
      </w:r>
    </w:p>
    <w:p>
      <w:pPr>
        <w:pStyle w:val="NoSpacing"/>
        <w:rPr/>
      </w:pPr>
      <w:r>
        <w:rPr/>
        <w:t>De vraag wordt gesteld wat kerkleden kunnen doen als de kerkenraad niet genegen is om revisie te vragen bij de volgende GS. Kerkleden kunnen hun kerkenraad vragen om revisie in te stellen. Zij moeten dat natuurlijk zo goed mogelijk uitleggen en motiveren. Als de kerkenraad dat verzoek afwijst, is dat een besluit waartegen bij dezelfde kerkenraad bezwaar kan worden ingediend. De kerkenraad moet dan het besluit om niet in revisie te gaan nog een keer zorgvuldig heroverwegen. Het komt er uiteraard dan opnieuw op aan om de kerkenraad te overtuigen van de noodzaak om revisie te vragen. Mocht de kerkenraad opnieuw het verzoek afwijzen, dan is er de mogelijkheid om hiertegen in beroep te gaan bij de classis. In alle gevallen kunt u gebruikmaken van de inhoud van het model-verzoekschrift tot revisie.</w:t>
      </w:r>
    </w:p>
    <w:p>
      <w:pPr>
        <w:pStyle w:val="NoSpacing"/>
        <w:rPr/>
      </w:pPr>
      <w:r>
        <w:rPr/>
      </w:r>
    </w:p>
    <w:p>
      <w:pPr>
        <w:pStyle w:val="NoSpacing"/>
        <w:rPr/>
      </w:pPr>
      <w:r>
        <w:rPr>
          <w:b/>
        </w:rPr>
        <w:t>Hulpmiddel</w:t>
      </w:r>
    </w:p>
    <w:p>
      <w:pPr>
        <w:pStyle w:val="NoSpacing"/>
        <w:rPr/>
      </w:pPr>
      <w:r>
        <w:rPr/>
        <w:t>Het model-verzoek tot revisie is een hulpmiddel voor de kerkenraden om revisie in te stellen. Kerkenraden mogen het model overnemen en daarmee tot hun eigen revisieverzoek maken. Het staat hen natuurlijk desgewenst ook vrij om zaken weg te laten of aan te vullen of helemaal een eigen revisieverzoek op te stellen. De werkgroep stelt het op prijs om een kopie van ingediende revisieverzoeken te ontvangen.</w:t>
      </w:r>
    </w:p>
    <w:p>
      <w:pPr>
        <w:pStyle w:val="NoSpacing"/>
        <w:rPr/>
      </w:pPr>
      <w:r>
        <w:rPr/>
      </w:r>
    </w:p>
    <w:p>
      <w:pPr>
        <w:pStyle w:val="NoSpacing"/>
        <w:rPr/>
      </w:pPr>
      <w:r>
        <w:rPr>
          <w:b/>
        </w:rPr>
        <w:t>Deputaten</w:t>
      </w:r>
    </w:p>
    <w:p>
      <w:pPr>
        <w:pStyle w:val="NoSpacing"/>
        <w:rPr/>
      </w:pPr>
      <w:r>
        <w:rPr/>
        <w:t xml:space="preserve">De Generale Regeling voor revisieverzoeken schrijft voor dat een kerkenraad, alvorens het revisieverzoek in te dienen bij de synode, eerst in overleg treedt met de desbetreffende deputaten van de synode. Omdat er door de GS Meppel inderdaad nieuwe deputaten ‘MV in de kerk’ zijn benoemd, is het goed om een voorgenomen revisieverzoek aan hen te melden. Deputaten zullen dan wel aangeven of zij verder overleg gewenst achten. Het recht om als kerkenraad een revisieverzoek in te dienen blijft hiermee onverkort bestaan. </w:t>
      </w:r>
    </w:p>
    <w:p>
      <w:pPr>
        <w:pStyle w:val="NoSpacing"/>
        <w:rPr/>
      </w:pPr>
      <w:r>
        <w:rPr/>
      </w:r>
    </w:p>
    <w:p>
      <w:pPr>
        <w:pStyle w:val="NoSpacing"/>
        <w:rPr/>
      </w:pPr>
      <w:r>
        <w:rPr>
          <w:b/>
        </w:rPr>
        <w:t xml:space="preserve">Contact </w:t>
      </w:r>
    </w:p>
    <w:p>
      <w:pPr>
        <w:pStyle w:val="NoSpacing"/>
        <w:rPr/>
      </w:pPr>
      <w:r>
        <w:rPr/>
        <w:t xml:space="preserve">In geval van vragen of gewenst overleg kunt u gebruikmaken van het </w:t>
      </w:r>
      <w:r>
        <w:rPr>
          <w:rFonts w:cs="Calibri"/>
          <w:color w:val="000000"/>
        </w:rPr>
        <w:t>contactformulier op de website.</w:t>
      </w:r>
    </w:p>
    <w:sectPr>
      <w:type w:val="nextPage"/>
      <w:pgSz w:w="11906" w:h="16838"/>
      <w:pgMar w:left="1417" w:right="1133"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66" w:hanging="360"/>
      </w:pPr>
      <w:rPr>
        <w:rFonts w:ascii="Symbol" w:hAnsi="Symbol" w:cs="Symbol" w:hint="default"/>
      </w:rPr>
    </w:lvl>
    <w:lvl w:ilvl="1">
      <w:start w:val="1"/>
      <w:numFmt w:val="bullet"/>
      <w:lvlText w:val="o"/>
      <w:lvlJc w:val="left"/>
      <w:pPr>
        <w:ind w:left="1486" w:hanging="360"/>
      </w:pPr>
      <w:rPr>
        <w:rFonts w:ascii="Courier New" w:hAnsi="Courier New" w:cs="Courier New" w:hint="default"/>
        <w:rFonts w:cs="Courier New"/>
      </w:rPr>
    </w:lvl>
    <w:lvl w:ilvl="2">
      <w:start w:val="1"/>
      <w:numFmt w:val="bullet"/>
      <w:lvlText w:val=""/>
      <w:lvlJc w:val="left"/>
      <w:pPr>
        <w:ind w:left="2206" w:hanging="360"/>
      </w:pPr>
      <w:rPr>
        <w:rFonts w:ascii="Wingdings" w:hAnsi="Wingdings" w:cs="Wingdings" w:hint="default"/>
      </w:rPr>
    </w:lvl>
    <w:lvl w:ilvl="3">
      <w:start w:val="1"/>
      <w:numFmt w:val="bullet"/>
      <w:lvlText w:val=""/>
      <w:lvlJc w:val="left"/>
      <w:pPr>
        <w:ind w:left="2926" w:hanging="360"/>
      </w:pPr>
      <w:rPr>
        <w:rFonts w:ascii="Symbol" w:hAnsi="Symbol" w:cs="Symbol" w:hint="default"/>
      </w:rPr>
    </w:lvl>
    <w:lvl w:ilvl="4">
      <w:start w:val="1"/>
      <w:numFmt w:val="bullet"/>
      <w:lvlText w:val="o"/>
      <w:lvlJc w:val="left"/>
      <w:pPr>
        <w:ind w:left="3646" w:hanging="360"/>
      </w:pPr>
      <w:rPr>
        <w:rFonts w:ascii="Courier New" w:hAnsi="Courier New" w:cs="Courier New" w:hint="default"/>
        <w:rFonts w:cs="Courier New"/>
      </w:rPr>
    </w:lvl>
    <w:lvl w:ilvl="5">
      <w:start w:val="1"/>
      <w:numFmt w:val="bullet"/>
      <w:lvlText w:val=""/>
      <w:lvlJc w:val="left"/>
      <w:pPr>
        <w:ind w:left="4366" w:hanging="360"/>
      </w:pPr>
      <w:rPr>
        <w:rFonts w:ascii="Wingdings" w:hAnsi="Wingdings" w:cs="Wingdings" w:hint="default"/>
      </w:rPr>
    </w:lvl>
    <w:lvl w:ilvl="6">
      <w:start w:val="1"/>
      <w:numFmt w:val="bullet"/>
      <w:lvlText w:val=""/>
      <w:lvlJc w:val="left"/>
      <w:pPr>
        <w:ind w:left="5086" w:hanging="360"/>
      </w:pPr>
      <w:rPr>
        <w:rFonts w:ascii="Symbol" w:hAnsi="Symbol" w:cs="Symbol" w:hint="default"/>
      </w:rPr>
    </w:lvl>
    <w:lvl w:ilvl="7">
      <w:start w:val="1"/>
      <w:numFmt w:val="bullet"/>
      <w:lvlText w:val="o"/>
      <w:lvlJc w:val="left"/>
      <w:pPr>
        <w:ind w:left="5806" w:hanging="360"/>
      </w:pPr>
      <w:rPr>
        <w:rFonts w:ascii="Courier New" w:hAnsi="Courier New" w:cs="Courier New" w:hint="default"/>
        <w:rFonts w:cs="Courier New"/>
      </w:rPr>
    </w:lvl>
    <w:lvl w:ilvl="8">
      <w:start w:val="1"/>
      <w:numFmt w:val="bullet"/>
      <w:lvlText w:val=""/>
      <w:lvlJc w:val="left"/>
      <w:pPr>
        <w:ind w:left="6526"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nl-N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Kop">
    <w:name w:val="Kop"/>
    <w:basedOn w:val="Normal"/>
    <w:next w:val="Tekstblok"/>
    <w:qFormat/>
    <w:pPr>
      <w:keepNext w:val="true"/>
      <w:spacing w:before="240" w:after="120"/>
    </w:pPr>
    <w:rPr>
      <w:rFonts w:ascii="Liberation Sans" w:hAnsi="Liberation Sans" w:eastAsia="Droid Sans Fallback" w:cs="FreeSans"/>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FreeSans"/>
    </w:rPr>
  </w:style>
  <w:style w:type="paragraph" w:styleId="Bijschrift">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414bc1"/>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nl-NL" w:eastAsia="en-US" w:bidi="ar-SA"/>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LibreOffice/5.3.7.2.0$Linux_X86_64 LibreOffice_project/30m0$Build-2</Application>
  <Pages>1</Pages>
  <Words>509</Words>
  <Characters>2717</Characters>
  <CharactersWithSpaces>3203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2018-01-26T21:38:45Z</dcterms:created>
  <dc:creator/>
  <dc:description/>
  <dc:language>nl-NL</dc:language>
  <cp:lastModifiedBy/>
  <dcterms:modified xsi:type="dcterms:W3CDTF">2018-01-26T21:39:02Z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